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7768E63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702BDF">
        <w:rPr>
          <w:noProof w:val="0"/>
          <w:sz w:val="24"/>
          <w:szCs w:val="24"/>
        </w:rPr>
        <w:t>4</w:t>
      </w:r>
      <w:r w:rsidR="007F2676">
        <w:rPr>
          <w:noProof w:val="0"/>
          <w:sz w:val="24"/>
          <w:szCs w:val="24"/>
        </w:rPr>
        <w:t>bis</w:t>
      </w:r>
      <w:r w:rsidR="00741EC5">
        <w:rPr>
          <w:noProof w:val="0"/>
          <w:sz w:val="24"/>
          <w:szCs w:val="24"/>
        </w:rPr>
        <w:t>-e</w:t>
      </w:r>
      <w:r w:rsidRPr="00B266B0">
        <w:rPr>
          <w:bCs/>
          <w:noProof w:val="0"/>
          <w:sz w:val="24"/>
          <w:szCs w:val="24"/>
        </w:rPr>
        <w:tab/>
      </w:r>
      <w:r w:rsidR="00926BAC" w:rsidRPr="00926BAC">
        <w:rPr>
          <w:bCs/>
          <w:noProof w:val="0"/>
          <w:sz w:val="24"/>
          <w:szCs w:val="24"/>
        </w:rPr>
        <w:t>R3-220605</w:t>
      </w:r>
    </w:p>
    <w:p w14:paraId="1822B173" w14:textId="62DD42C7"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7F2676" w:rsidRPr="006F7AE5">
        <w:rPr>
          <w:rFonts w:cs="Arial"/>
          <w:sz w:val="24"/>
          <w:szCs w:val="24"/>
          <w:lang w:val="en-US"/>
        </w:rPr>
        <w:t>1</w:t>
      </w:r>
      <w:r w:rsidR="007F2676">
        <w:rPr>
          <w:rFonts w:cs="Arial"/>
          <w:sz w:val="24"/>
          <w:szCs w:val="24"/>
          <w:lang w:val="en-US"/>
        </w:rPr>
        <w:t>7</w:t>
      </w:r>
      <w:r w:rsidR="007F2676" w:rsidRPr="006F7AE5">
        <w:rPr>
          <w:rFonts w:cs="Arial"/>
          <w:sz w:val="24"/>
          <w:szCs w:val="24"/>
          <w:lang w:val="en-US"/>
        </w:rPr>
        <w:t xml:space="preserve"> – </w:t>
      </w:r>
      <w:r w:rsidR="007F2676">
        <w:rPr>
          <w:rFonts w:cs="Arial"/>
          <w:sz w:val="24"/>
          <w:szCs w:val="24"/>
          <w:lang w:val="en-US"/>
        </w:rPr>
        <w:t>26</w:t>
      </w:r>
      <w:r w:rsidR="007F2676" w:rsidRPr="006F7AE5">
        <w:rPr>
          <w:rFonts w:cs="Arial"/>
          <w:sz w:val="24"/>
          <w:szCs w:val="24"/>
          <w:lang w:val="en-US"/>
        </w:rPr>
        <w:t xml:space="preserve"> </w:t>
      </w:r>
      <w:r w:rsidR="007F2676">
        <w:rPr>
          <w:rFonts w:cs="Arial"/>
          <w:sz w:val="24"/>
          <w:szCs w:val="24"/>
          <w:lang w:val="en-US"/>
        </w:rPr>
        <w:t>January</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7CCCA12"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012C6D">
        <w:rPr>
          <w:rFonts w:cs="Arial"/>
          <w:b/>
          <w:bCs/>
          <w:sz w:val="24"/>
          <w:lang w:val="en-US" w:eastAsia="ja-JP"/>
        </w:rPr>
        <w:t>10.3.2.1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B9304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2C6D">
        <w:rPr>
          <w:rFonts w:ascii="Arial" w:hAnsi="Arial" w:cs="Arial"/>
          <w:b/>
          <w:bCs/>
          <w:sz w:val="24"/>
        </w:rPr>
        <w:t>On open points for MDT enhancements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6FEE27CE" w:rsidR="00CD4C7B" w:rsidRDefault="00012C6D" w:rsidP="00CD4C7B">
      <w:r>
        <w:t xml:space="preserve">We here provide further discussion on </w:t>
      </w:r>
      <w:r w:rsidR="006F42E2">
        <w:t>some of the</w:t>
      </w:r>
      <w:r>
        <w:t xml:space="preserve"> </w:t>
      </w:r>
      <w:r w:rsidRPr="00012C6D">
        <w:t>open points for MDT enhancements</w:t>
      </w:r>
      <w:r>
        <w:t>.</w:t>
      </w:r>
    </w:p>
    <w:p w14:paraId="479DA40B" w14:textId="77777777" w:rsidR="00CD4C7B" w:rsidRPr="006E13D1" w:rsidRDefault="00CD4C7B" w:rsidP="00CD4C7B">
      <w:pPr>
        <w:pStyle w:val="Heading1"/>
      </w:pPr>
      <w:r w:rsidRPr="006E13D1">
        <w:t>2</w:t>
      </w:r>
      <w:r w:rsidRPr="006E13D1">
        <w:tab/>
      </w:r>
      <w:r w:rsidR="00972FD7">
        <w:t>Discussion</w:t>
      </w:r>
    </w:p>
    <w:p w14:paraId="4E723461" w14:textId="55ED3501" w:rsidR="00012C6D" w:rsidRDefault="00012C6D" w:rsidP="00012C6D">
      <w:pPr>
        <w:rPr>
          <w:rFonts w:ascii="Calibri" w:hAnsi="Calibri" w:cs="Calibri"/>
          <w:i/>
          <w:color w:val="FF0000"/>
          <w:sz w:val="16"/>
          <w:szCs w:val="16"/>
        </w:rPr>
      </w:pPr>
      <w:r>
        <w:rPr>
          <w:rFonts w:ascii="Calibri" w:hAnsi="Calibri" w:cs="Calibri"/>
          <w:i/>
          <w:color w:val="FF0000"/>
          <w:sz w:val="16"/>
          <w:szCs w:val="16"/>
        </w:rPr>
        <w:t xml:space="preserve">Propagation of MDT user consent during </w:t>
      </w:r>
      <w:proofErr w:type="spellStart"/>
      <w:r>
        <w:rPr>
          <w:rFonts w:ascii="Calibri" w:hAnsi="Calibri" w:cs="Calibri"/>
          <w:i/>
          <w:color w:val="FF0000"/>
          <w:sz w:val="16"/>
          <w:szCs w:val="16"/>
        </w:rPr>
        <w:t>Xn</w:t>
      </w:r>
      <w:proofErr w:type="spellEnd"/>
      <w:r>
        <w:rPr>
          <w:rFonts w:ascii="Calibri" w:hAnsi="Calibri" w:cs="Calibri"/>
          <w:i/>
          <w:color w:val="FF0000"/>
          <w:sz w:val="16"/>
          <w:szCs w:val="16"/>
        </w:rPr>
        <w:t xml:space="preserve"> inter-PLMN handover, To be continued.</w:t>
      </w:r>
    </w:p>
    <w:p w14:paraId="5E28EFF2" w14:textId="12741890" w:rsidR="00F47338" w:rsidRDefault="00A067C9" w:rsidP="00012C6D">
      <w:r>
        <w:t xml:space="preserve">This discussion point has been open for many meetings, and it is our hope that convergence soon can be found. </w:t>
      </w:r>
      <w:r w:rsidR="00AA7D8D">
        <w:t xml:space="preserve">In the </w:t>
      </w:r>
      <w:r w:rsidR="00AA7D8D">
        <w:rPr>
          <w:rFonts w:eastAsia="SimSun"/>
          <w:lang w:eastAsia="zh-CN"/>
        </w:rPr>
        <w:t xml:space="preserve">reply LS from SA3, received </w:t>
      </w:r>
      <w:r w:rsidR="00AA7D8D">
        <w:t>at RAN3#112-e (</w:t>
      </w:r>
      <w:r w:rsidR="00AA7D8D">
        <w:rPr>
          <w:rFonts w:eastAsia="SimSun"/>
          <w:lang w:eastAsia="zh-CN"/>
        </w:rPr>
        <w:t>S3-211330/R3-2114</w:t>
      </w:r>
      <w:r>
        <w:rPr>
          <w:rFonts w:eastAsia="SimSun"/>
          <w:lang w:eastAsia="zh-CN"/>
        </w:rPr>
        <w:t>63</w:t>
      </w:r>
      <w:r w:rsidR="00AA7D8D">
        <w:t>), SA3 reconfirms</w:t>
      </w:r>
      <w:r>
        <w:t xml:space="preserve"> that propagation of the m-based user consent comes with the condition that t</w:t>
      </w:r>
      <w:r w:rsidRPr="00A067C9">
        <w:t>he source NG-RAN node and the target NG-RAN node are managed by the same operator</w:t>
      </w:r>
      <w:r>
        <w:t xml:space="preserve">. As per current standard, the m-based user consent (i.e. the </w:t>
      </w:r>
      <w:r w:rsidRPr="00A067C9">
        <w:rPr>
          <w:i/>
          <w:iCs/>
          <w:color w:val="000000"/>
          <w:lang w:eastAsia="en-GB"/>
        </w:rPr>
        <w:t>Management Based MDT PLMN List</w:t>
      </w:r>
      <w:r w:rsidRPr="00DB783E">
        <w:rPr>
          <w:color w:val="000000"/>
          <w:lang w:eastAsia="en-GB"/>
        </w:rPr>
        <w:t xml:space="preserve"> IE</w:t>
      </w:r>
      <w:r>
        <w:t xml:space="preserve">) will </w:t>
      </w:r>
      <w:r w:rsidR="00F47338">
        <w:t xml:space="preserve">only </w:t>
      </w:r>
      <w:r>
        <w:t xml:space="preserve">propagate if the </w:t>
      </w:r>
      <w:r w:rsidR="00F47338">
        <w:t>target PLMN is contained in the list, and in that sense the current standard already complies with SA3's requirements. But the current solution comes with the drawback that a UE transiting in RRC connected mode through a PLMN to which user consent has not been given, will not be eligible for m-based MDT if it is handed over to a PLMN to which consent has been given. RAN3#113-e therefore agreed to enable the AMF to provide the m-based user consent in this scenario:</w:t>
      </w:r>
    </w:p>
    <w:p w14:paraId="2D7CCA3C" w14:textId="77777777" w:rsidR="00F47338" w:rsidRDefault="00F47338" w:rsidP="00F47338">
      <w:pPr>
        <w:spacing w:after="0" w:line="276" w:lineRule="auto"/>
        <w:ind w:leftChars="200" w:left="400"/>
        <w:rPr>
          <w:rFonts w:ascii="Calibri" w:eastAsia="Calibri" w:hAnsi="Calibri" w:cs="Calibri"/>
          <w:color w:val="00B050"/>
          <w:sz w:val="18"/>
          <w:szCs w:val="18"/>
          <w:lang w:val="fr-FR" w:eastAsia="fr-FR"/>
        </w:rPr>
      </w:pPr>
      <w:r>
        <w:rPr>
          <w:rFonts w:ascii="Calibri" w:eastAsia="Calibri" w:hAnsi="Calibri" w:cs="Calibri"/>
          <w:color w:val="00B050"/>
          <w:sz w:val="18"/>
          <w:szCs w:val="18"/>
          <w:lang w:val="fr-FR" w:eastAsia="fr-FR"/>
        </w:rPr>
        <w:t xml:space="preserve">In case propagation of Management </w:t>
      </w:r>
      <w:proofErr w:type="spellStart"/>
      <w:r>
        <w:rPr>
          <w:rFonts w:ascii="Calibri" w:eastAsia="Calibri" w:hAnsi="Calibri" w:cs="Calibri"/>
          <w:color w:val="00B050"/>
          <w:sz w:val="18"/>
          <w:szCs w:val="18"/>
          <w:lang w:val="fr-FR" w:eastAsia="fr-FR"/>
        </w:rPr>
        <w:t>Based</w:t>
      </w:r>
      <w:proofErr w:type="spellEnd"/>
      <w:r>
        <w:rPr>
          <w:rFonts w:ascii="Calibri" w:eastAsia="Calibri" w:hAnsi="Calibri" w:cs="Calibri"/>
          <w:color w:val="00B050"/>
          <w:sz w:val="18"/>
          <w:szCs w:val="18"/>
          <w:lang w:val="fr-FR" w:eastAsia="fr-FR"/>
        </w:rPr>
        <w:t xml:space="preserve"> MDT PLMN List IE at </w:t>
      </w:r>
      <w:proofErr w:type="spellStart"/>
      <w:r>
        <w:rPr>
          <w:rFonts w:ascii="Calibri" w:eastAsia="Calibri" w:hAnsi="Calibri" w:cs="Calibri"/>
          <w:color w:val="00B050"/>
          <w:sz w:val="18"/>
          <w:szCs w:val="18"/>
          <w:lang w:val="fr-FR" w:eastAsia="fr-FR"/>
        </w:rPr>
        <w:t>Xn</w:t>
      </w:r>
      <w:proofErr w:type="spellEnd"/>
      <w:r>
        <w:rPr>
          <w:rFonts w:ascii="Calibri" w:eastAsia="Calibri" w:hAnsi="Calibri" w:cs="Calibri"/>
          <w:color w:val="00B050"/>
          <w:sz w:val="18"/>
          <w:szCs w:val="18"/>
          <w:lang w:val="fr-FR" w:eastAsia="fr-FR"/>
        </w:rPr>
        <w:t xml:space="preserve"> inter-PLMN </w:t>
      </w:r>
      <w:proofErr w:type="spellStart"/>
      <w:r>
        <w:rPr>
          <w:rFonts w:ascii="Calibri" w:eastAsia="Calibri" w:hAnsi="Calibri" w:cs="Calibri"/>
          <w:color w:val="00B050"/>
          <w:sz w:val="18"/>
          <w:szCs w:val="18"/>
          <w:lang w:val="fr-FR" w:eastAsia="fr-FR"/>
        </w:rPr>
        <w:t>handover</w:t>
      </w:r>
      <w:proofErr w:type="spellEnd"/>
      <w:r>
        <w:rPr>
          <w:rFonts w:ascii="Calibri" w:eastAsia="Calibri" w:hAnsi="Calibri" w:cs="Calibri"/>
          <w:color w:val="00B050"/>
          <w:sz w:val="18"/>
          <w:szCs w:val="18"/>
          <w:lang w:val="fr-FR" w:eastAsia="fr-FR"/>
        </w:rPr>
        <w:t xml:space="preserve">, AMF </w:t>
      </w:r>
      <w:proofErr w:type="spellStart"/>
      <w:r>
        <w:rPr>
          <w:rFonts w:ascii="Calibri" w:eastAsia="Calibri" w:hAnsi="Calibri" w:cs="Calibri"/>
          <w:color w:val="00B050"/>
          <w:sz w:val="18"/>
          <w:szCs w:val="18"/>
          <w:lang w:val="fr-FR" w:eastAsia="fr-FR"/>
        </w:rPr>
        <w:t>provide</w:t>
      </w:r>
      <w:proofErr w:type="spellEnd"/>
      <w:r>
        <w:rPr>
          <w:rFonts w:ascii="Calibri" w:eastAsia="Calibri" w:hAnsi="Calibri" w:cs="Calibri"/>
          <w:color w:val="00B050"/>
          <w:sz w:val="18"/>
          <w:szCs w:val="18"/>
          <w:lang w:val="fr-FR" w:eastAsia="fr-FR"/>
        </w:rPr>
        <w:t xml:space="preserve"> User consent in PATH SWITCH ACK message.</w:t>
      </w:r>
    </w:p>
    <w:p w14:paraId="41DF8001" w14:textId="6E463F00" w:rsidR="00F47338" w:rsidRDefault="00F47338" w:rsidP="00012C6D">
      <w:r>
        <w:t xml:space="preserve">A further question is then whether </w:t>
      </w:r>
      <w:r w:rsidR="001F7BC7">
        <w:t xml:space="preserve">dynamic user consent updates should be supported, i.e. whether to enhance the NGAP </w:t>
      </w:r>
      <w:r w:rsidR="001F7BC7" w:rsidRPr="001F7BC7">
        <w:t>UE CONTEXT MODIFICATION REQUEST</w:t>
      </w:r>
      <w:r w:rsidR="001F7BC7">
        <w:t xml:space="preserve"> message for this purpose. As per today, we believe that when the user updates his/her user consent information, this change is not necessarily propagated from the HSS to the AMF. The safest way to ensure the new user consent information is taken into account by the AMF and the RAN is therefore to deregister/register (user switches off and on the phone, or switches to flight mode and back again). So unless a dynamic user consent update is enabled in the core network, we don't believe it would serve any purpose to work on such functionality for dynamic update on the RAN side. Also, we would expect that </w:t>
      </w:r>
      <w:r w:rsidR="00E90390">
        <w:t>user consent changes don't happen frequently, and that the status quo is therefore acceptable.</w:t>
      </w:r>
    </w:p>
    <w:p w14:paraId="69D3F45D" w14:textId="77777777" w:rsidR="00E02656" w:rsidRDefault="00E02656" w:rsidP="00012C6D">
      <w:r>
        <w:t>Based on this, we believe that the agreement from RAN3#113-e corresponds to a suitable Rel-17 enhancement for user consent handling.</w:t>
      </w:r>
    </w:p>
    <w:p w14:paraId="168F9F27" w14:textId="747FD7C3" w:rsidR="00F47338" w:rsidRPr="00E02656" w:rsidRDefault="00E02656" w:rsidP="00012C6D">
      <w:pPr>
        <w:rPr>
          <w:b/>
          <w:bCs/>
        </w:rPr>
      </w:pPr>
      <w:r w:rsidRPr="00E02656">
        <w:rPr>
          <w:b/>
          <w:bCs/>
        </w:rPr>
        <w:t>Proposal 1: Enhance the PATH SWITCH ACK message for m-based user consent as per earlier RAN3 agreement.</w:t>
      </w:r>
    </w:p>
    <w:p w14:paraId="58D6673E" w14:textId="77777777" w:rsidR="00E02656" w:rsidRDefault="00F47338" w:rsidP="00012C6D">
      <w:r>
        <w:t xml:space="preserve"> </w:t>
      </w:r>
    </w:p>
    <w:p w14:paraId="0E504CED" w14:textId="216BC942" w:rsidR="00012C6D" w:rsidRDefault="00012C6D" w:rsidP="00012C6D">
      <w:pPr>
        <w:rPr>
          <w:rFonts w:ascii="Calibri" w:hAnsi="Calibri" w:cs="Calibri"/>
          <w:i/>
          <w:color w:val="FF0000"/>
          <w:sz w:val="16"/>
          <w:szCs w:val="16"/>
        </w:rPr>
      </w:pPr>
      <w:r>
        <w:rPr>
          <w:rFonts w:ascii="Calibri" w:hAnsi="Calibri" w:cs="Calibri"/>
          <w:i/>
          <w:color w:val="FF0000"/>
          <w:sz w:val="16"/>
          <w:szCs w:val="16"/>
        </w:rPr>
        <w:t>Failure indication for cross RAT logged MDT</w:t>
      </w:r>
      <w:r w:rsidR="00CB4F44">
        <w:rPr>
          <w:rFonts w:ascii="Calibri" w:hAnsi="Calibri" w:cs="Calibri"/>
          <w:i/>
          <w:color w:val="FF0000"/>
          <w:sz w:val="16"/>
          <w:szCs w:val="16"/>
        </w:rPr>
        <w:t xml:space="preserve"> </w:t>
      </w:r>
      <w:r>
        <w:rPr>
          <w:rFonts w:ascii="Calibri" w:hAnsi="Calibri" w:cs="Calibri"/>
          <w:i/>
          <w:color w:val="FF0000"/>
          <w:sz w:val="16"/>
          <w:szCs w:val="16"/>
        </w:rPr>
        <w:t>on NGAP to AMF? (FFS)</w:t>
      </w:r>
    </w:p>
    <w:p w14:paraId="3F14A1D9" w14:textId="7B93DF5D" w:rsidR="00CB4F44" w:rsidRDefault="00D751E1" w:rsidP="00012C6D">
      <w:r>
        <w:t>A specific inter-RAT scenario</w:t>
      </w:r>
      <w:r w:rsidR="00C92AD3">
        <w:t xml:space="preserve"> </w:t>
      </w:r>
      <w:r>
        <w:t>of failed delivery of logged MDT configuration to the UE</w:t>
      </w:r>
      <w:r w:rsidR="00C92AD3">
        <w:t xml:space="preserve">, involving </w:t>
      </w:r>
      <w:proofErr w:type="spellStart"/>
      <w:r w:rsidR="00C92AD3">
        <w:t>RRC_Inactive</w:t>
      </w:r>
      <w:proofErr w:type="spellEnd"/>
      <w:r w:rsidR="00C92AD3">
        <w:t xml:space="preserve">, </w:t>
      </w:r>
      <w:r>
        <w:t xml:space="preserve"> was discussed at RAN3#114-e. </w:t>
      </w:r>
      <w:r w:rsidR="00DE0D1C">
        <w:t>The use of NGAP Trace Failure Indication procedure is described as follows in TS 32.422:</w:t>
      </w:r>
    </w:p>
    <w:p w14:paraId="217E0343" w14:textId="77777777" w:rsidR="00DE0D1C" w:rsidRPr="00DE0D1C" w:rsidRDefault="00DE0D1C" w:rsidP="00DE0D1C">
      <w:pPr>
        <w:ind w:left="284"/>
        <w:rPr>
          <w:i/>
          <w:iCs/>
          <w:sz w:val="18"/>
          <w:szCs w:val="18"/>
          <w:lang w:eastAsia="zh-CN"/>
        </w:rPr>
      </w:pPr>
      <w:r w:rsidRPr="00DE0D1C">
        <w:rPr>
          <w:i/>
          <w:iCs/>
          <w:sz w:val="18"/>
          <w:szCs w:val="18"/>
        </w:rPr>
        <w:t>If the NG-RAN node is not able to activate the trace session due to ongoing handover of the UE to another NG-RAN node</w:t>
      </w:r>
      <w:r w:rsidRPr="00DE0D1C">
        <w:rPr>
          <w:i/>
          <w:iCs/>
          <w:sz w:val="18"/>
          <w:szCs w:val="18"/>
          <w:lang w:eastAsia="zh-CN"/>
        </w:rPr>
        <w:t>, the NG-RAN node shall inform the AMF with the TRACE FAILURE INDICATION message using NG interface.</w:t>
      </w:r>
    </w:p>
    <w:p w14:paraId="2CCABAD1" w14:textId="1D00D3C5" w:rsidR="00DE0D1C" w:rsidRDefault="006F42E2" w:rsidP="00012C6D">
      <w:r>
        <w:t xml:space="preserve">The NGAP description is aligned with the above. </w:t>
      </w:r>
      <w:r w:rsidR="00DE0D1C">
        <w:t>In this scenario the following NGAP cause may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E0D1C" w:rsidRPr="001D2E49" w14:paraId="63A54577" w14:textId="77777777" w:rsidTr="00650AD0">
        <w:tc>
          <w:tcPr>
            <w:tcW w:w="3168" w:type="dxa"/>
            <w:tcBorders>
              <w:top w:val="single" w:sz="4" w:space="0" w:color="auto"/>
              <w:left w:val="single" w:sz="4" w:space="0" w:color="auto"/>
              <w:bottom w:val="single" w:sz="4" w:space="0" w:color="auto"/>
              <w:right w:val="single" w:sz="4" w:space="0" w:color="auto"/>
            </w:tcBorders>
          </w:tcPr>
          <w:p w14:paraId="58C38FBF" w14:textId="77777777" w:rsidR="00DE0D1C" w:rsidRPr="001D2E49" w:rsidRDefault="00DE0D1C" w:rsidP="00650AD0">
            <w:pPr>
              <w:pStyle w:val="TAL"/>
              <w:rPr>
                <w:rFonts w:cs="Arial"/>
                <w:lang w:eastAsia="ja-JP"/>
              </w:rPr>
            </w:pPr>
            <w:r w:rsidRPr="001D2E49">
              <w:rPr>
                <w:rFonts w:cs="Arial"/>
                <w:lang w:eastAsia="ja-JP"/>
              </w:rPr>
              <w:lastRenderedPageBreak/>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16E6854" w14:textId="77777777" w:rsidR="00DE0D1C" w:rsidRPr="001D2E49" w:rsidRDefault="00DE0D1C" w:rsidP="00650AD0">
            <w:pPr>
              <w:pStyle w:val="TAL"/>
              <w:rPr>
                <w:rFonts w:cs="Arial"/>
                <w:lang w:eastAsia="ja-JP"/>
              </w:rPr>
            </w:pPr>
            <w:r w:rsidRPr="001D2E49">
              <w:rPr>
                <w:rFonts w:cs="Arial"/>
                <w:lang w:eastAsia="ja-JP"/>
              </w:rPr>
              <w:t>The action is due to a NG intra-system handover that has been triggered.</w:t>
            </w:r>
          </w:p>
        </w:tc>
      </w:tr>
    </w:tbl>
    <w:p w14:paraId="5C135B9D" w14:textId="4988373C" w:rsidR="00DE0D1C" w:rsidRDefault="00DE0D1C" w:rsidP="00012C6D"/>
    <w:p w14:paraId="09BBD99C" w14:textId="2F49D4A6" w:rsidR="00DE0D1C" w:rsidRDefault="00C92AD3" w:rsidP="00012C6D">
      <w:r>
        <w:t xml:space="preserve">In current specification, if a logged MDT configuration was received and the UE went to idle before the network could transmit the configuration, the CN is not informed. So we don't see any particular reason to cover the case involving </w:t>
      </w:r>
      <w:proofErr w:type="spellStart"/>
      <w:r>
        <w:t>RRC_Inactive</w:t>
      </w:r>
      <w:proofErr w:type="spellEnd"/>
      <w:r>
        <w:t>.</w:t>
      </w:r>
    </w:p>
    <w:p w14:paraId="3E6FA950" w14:textId="2E6EED37" w:rsidR="00C92AD3" w:rsidRPr="00C92AD3" w:rsidRDefault="00C92AD3" w:rsidP="00012C6D">
      <w:pPr>
        <w:rPr>
          <w:b/>
          <w:bCs/>
        </w:rPr>
      </w:pPr>
      <w:r w:rsidRPr="00C92AD3">
        <w:rPr>
          <w:b/>
          <w:bCs/>
        </w:rPr>
        <w:t>Proposal 2: Failure indication for cross RAT logged MDT on NGAP to AMF is not needed.</w:t>
      </w:r>
    </w:p>
    <w:p w14:paraId="39A3D1DA" w14:textId="43C8E25D" w:rsidR="00012C6D" w:rsidRDefault="00012C6D" w:rsidP="00012C6D">
      <w:pPr>
        <w:rPr>
          <w:rFonts w:ascii="Calibri" w:hAnsi="Calibri" w:cs="Calibri"/>
          <w:i/>
          <w:color w:val="FF0000"/>
          <w:sz w:val="16"/>
          <w:szCs w:val="16"/>
        </w:rPr>
      </w:pPr>
      <w:r>
        <w:rPr>
          <w:rFonts w:ascii="Calibri" w:hAnsi="Calibri" w:cs="Calibri"/>
          <w:i/>
          <w:color w:val="FF0000"/>
          <w:sz w:val="16"/>
          <w:szCs w:val="16"/>
        </w:rPr>
        <w:t>new Cause value “Valid RAT MDT configuration is missing” on XNAP? (FFS)</w:t>
      </w:r>
    </w:p>
    <w:p w14:paraId="0CA0F3AA" w14:textId="78B2128A" w:rsidR="006F42E2" w:rsidRDefault="006F42E2" w:rsidP="00012C6D">
      <w:r w:rsidRPr="006F42E2">
        <w:t xml:space="preserve">This </w:t>
      </w:r>
      <w:r>
        <w:t>open point depends on the one discussed above.</w:t>
      </w:r>
    </w:p>
    <w:p w14:paraId="3805EC1E" w14:textId="756C7176" w:rsidR="006F42E2" w:rsidRPr="00C92AD3" w:rsidRDefault="006F42E2" w:rsidP="006F42E2">
      <w:pPr>
        <w:rPr>
          <w:b/>
          <w:bCs/>
        </w:rPr>
      </w:pPr>
      <w:r w:rsidRPr="00C92AD3">
        <w:rPr>
          <w:b/>
          <w:bCs/>
        </w:rPr>
        <w:t xml:space="preserve">Proposal </w:t>
      </w:r>
      <w:r>
        <w:rPr>
          <w:b/>
          <w:bCs/>
        </w:rPr>
        <w:t>3</w:t>
      </w:r>
      <w:r w:rsidRPr="00C92AD3">
        <w:rPr>
          <w:b/>
          <w:bCs/>
        </w:rPr>
        <w:t xml:space="preserve">: </w:t>
      </w:r>
      <w:r>
        <w:rPr>
          <w:b/>
          <w:bCs/>
        </w:rPr>
        <w:t>N</w:t>
      </w:r>
      <w:r w:rsidRPr="006F42E2">
        <w:rPr>
          <w:b/>
          <w:bCs/>
        </w:rPr>
        <w:t xml:space="preserve">ew Cause value “Valid RAT MDT configuration is missing” on XNAP </w:t>
      </w:r>
      <w:r w:rsidRPr="00C92AD3">
        <w:rPr>
          <w:b/>
          <w:bCs/>
        </w:rPr>
        <w:t>is not needed.</w:t>
      </w:r>
    </w:p>
    <w:p w14:paraId="0B87DA90" w14:textId="77777777" w:rsidR="00012C6D" w:rsidRDefault="00012C6D"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2D814413" w14:textId="0E127444" w:rsidR="006F42E2" w:rsidRDefault="006F42E2" w:rsidP="006F42E2">
      <w:pPr>
        <w:rPr>
          <w:b/>
          <w:bCs/>
        </w:rPr>
      </w:pPr>
      <w:r w:rsidRPr="00E02656">
        <w:rPr>
          <w:b/>
          <w:bCs/>
        </w:rPr>
        <w:t>Proposal 1: Enhance the PATH SWITCH ACK message for m-based user consent as per earlier RAN3 agreement.</w:t>
      </w:r>
    </w:p>
    <w:p w14:paraId="040D4AF7" w14:textId="77777777" w:rsidR="006F42E2" w:rsidRPr="00C92AD3" w:rsidRDefault="006F42E2" w:rsidP="006F42E2">
      <w:pPr>
        <w:rPr>
          <w:b/>
          <w:bCs/>
        </w:rPr>
      </w:pPr>
      <w:r w:rsidRPr="00C92AD3">
        <w:rPr>
          <w:b/>
          <w:bCs/>
        </w:rPr>
        <w:t>Proposal 2: Failure indication for cross RAT logged MDT on NGAP to AMF is not needed.</w:t>
      </w:r>
    </w:p>
    <w:p w14:paraId="750311D7" w14:textId="22E8449B" w:rsidR="006F42E2" w:rsidRPr="00E02656" w:rsidRDefault="006F42E2" w:rsidP="006F42E2">
      <w:pPr>
        <w:rPr>
          <w:b/>
          <w:bCs/>
        </w:rPr>
      </w:pPr>
      <w:r w:rsidRPr="00C92AD3">
        <w:rPr>
          <w:b/>
          <w:bCs/>
        </w:rPr>
        <w:t xml:space="preserve">Proposal </w:t>
      </w:r>
      <w:r>
        <w:rPr>
          <w:b/>
          <w:bCs/>
        </w:rPr>
        <w:t>3</w:t>
      </w:r>
      <w:r w:rsidRPr="00C92AD3">
        <w:rPr>
          <w:b/>
          <w:bCs/>
        </w:rPr>
        <w:t xml:space="preserve">: </w:t>
      </w:r>
      <w:r>
        <w:rPr>
          <w:b/>
          <w:bCs/>
        </w:rPr>
        <w:t>N</w:t>
      </w:r>
      <w:r w:rsidRPr="006F42E2">
        <w:rPr>
          <w:b/>
          <w:bCs/>
        </w:rPr>
        <w:t xml:space="preserve">ew Cause value “Valid RAT MDT configuration is missing” on XNAP </w:t>
      </w:r>
      <w:r w:rsidRPr="00C92AD3">
        <w:rPr>
          <w:b/>
          <w:bCs/>
        </w:rPr>
        <w:t>is not needed.</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BA8A6" w14:textId="77777777" w:rsidR="00765BA8" w:rsidRDefault="00765BA8">
      <w:r>
        <w:separator/>
      </w:r>
    </w:p>
  </w:endnote>
  <w:endnote w:type="continuationSeparator" w:id="0">
    <w:p w14:paraId="60E299F5" w14:textId="77777777" w:rsidR="00765BA8" w:rsidRDefault="0076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9A8DD" w14:textId="77777777" w:rsidR="00765BA8" w:rsidRDefault="00765BA8">
      <w:r>
        <w:separator/>
      </w:r>
    </w:p>
  </w:footnote>
  <w:footnote w:type="continuationSeparator" w:id="0">
    <w:p w14:paraId="380B2703" w14:textId="77777777" w:rsidR="00765BA8" w:rsidRDefault="00765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2C6D"/>
    <w:rsid w:val="00033397"/>
    <w:rsid w:val="000342C7"/>
    <w:rsid w:val="00040095"/>
    <w:rsid w:val="0005563E"/>
    <w:rsid w:val="00080512"/>
    <w:rsid w:val="00083F0D"/>
    <w:rsid w:val="000B7BCF"/>
    <w:rsid w:val="000C556D"/>
    <w:rsid w:val="000D376D"/>
    <w:rsid w:val="000D58AB"/>
    <w:rsid w:val="001075B7"/>
    <w:rsid w:val="001370F2"/>
    <w:rsid w:val="001549DD"/>
    <w:rsid w:val="00194CD0"/>
    <w:rsid w:val="001B08B3"/>
    <w:rsid w:val="001C4281"/>
    <w:rsid w:val="001D0D3F"/>
    <w:rsid w:val="001E39D1"/>
    <w:rsid w:val="001F168B"/>
    <w:rsid w:val="001F70B7"/>
    <w:rsid w:val="001F7BC7"/>
    <w:rsid w:val="00225F6D"/>
    <w:rsid w:val="0022606D"/>
    <w:rsid w:val="002305DD"/>
    <w:rsid w:val="00243BC7"/>
    <w:rsid w:val="002623FC"/>
    <w:rsid w:val="002747EC"/>
    <w:rsid w:val="002855BF"/>
    <w:rsid w:val="002953B2"/>
    <w:rsid w:val="002E1692"/>
    <w:rsid w:val="002F0D22"/>
    <w:rsid w:val="003172DC"/>
    <w:rsid w:val="00326069"/>
    <w:rsid w:val="003454FC"/>
    <w:rsid w:val="0035462D"/>
    <w:rsid w:val="00363177"/>
    <w:rsid w:val="003702F7"/>
    <w:rsid w:val="003B3FB3"/>
    <w:rsid w:val="003C4E37"/>
    <w:rsid w:val="003E1194"/>
    <w:rsid w:val="003E16BE"/>
    <w:rsid w:val="003E7223"/>
    <w:rsid w:val="00401855"/>
    <w:rsid w:val="00464695"/>
    <w:rsid w:val="004C5539"/>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56E1E"/>
    <w:rsid w:val="006604E4"/>
    <w:rsid w:val="006C54B5"/>
    <w:rsid w:val="006D1E24"/>
    <w:rsid w:val="006F42E2"/>
    <w:rsid w:val="00702BDF"/>
    <w:rsid w:val="00734A5B"/>
    <w:rsid w:val="00741EC5"/>
    <w:rsid w:val="00743525"/>
    <w:rsid w:val="00744E76"/>
    <w:rsid w:val="007476DB"/>
    <w:rsid w:val="00757D40"/>
    <w:rsid w:val="00765BA8"/>
    <w:rsid w:val="00774846"/>
    <w:rsid w:val="00781F0F"/>
    <w:rsid w:val="0078727C"/>
    <w:rsid w:val="00797D4B"/>
    <w:rsid w:val="007C095F"/>
    <w:rsid w:val="007D5902"/>
    <w:rsid w:val="007F2676"/>
    <w:rsid w:val="00802106"/>
    <w:rsid w:val="008028A4"/>
    <w:rsid w:val="00806520"/>
    <w:rsid w:val="00830106"/>
    <w:rsid w:val="00840916"/>
    <w:rsid w:val="00853EDD"/>
    <w:rsid w:val="008604EE"/>
    <w:rsid w:val="00860A4B"/>
    <w:rsid w:val="0087401D"/>
    <w:rsid w:val="008768CA"/>
    <w:rsid w:val="00880559"/>
    <w:rsid w:val="008C2835"/>
    <w:rsid w:val="008C490B"/>
    <w:rsid w:val="0090271F"/>
    <w:rsid w:val="00903D8C"/>
    <w:rsid w:val="00926BAC"/>
    <w:rsid w:val="00942EC2"/>
    <w:rsid w:val="00954BCB"/>
    <w:rsid w:val="00961B32"/>
    <w:rsid w:val="00971683"/>
    <w:rsid w:val="00972FD7"/>
    <w:rsid w:val="00974BB0"/>
    <w:rsid w:val="009A6E4F"/>
    <w:rsid w:val="009C4D5C"/>
    <w:rsid w:val="009D0A28"/>
    <w:rsid w:val="009F3B54"/>
    <w:rsid w:val="009F7E6E"/>
    <w:rsid w:val="00A067C9"/>
    <w:rsid w:val="00A10F02"/>
    <w:rsid w:val="00A53724"/>
    <w:rsid w:val="00A82346"/>
    <w:rsid w:val="00A8361A"/>
    <w:rsid w:val="00A9671C"/>
    <w:rsid w:val="00AA7D8D"/>
    <w:rsid w:val="00AD4BCF"/>
    <w:rsid w:val="00AF4A8E"/>
    <w:rsid w:val="00AF78D5"/>
    <w:rsid w:val="00B1063A"/>
    <w:rsid w:val="00B15449"/>
    <w:rsid w:val="00B9781E"/>
    <w:rsid w:val="00BF79F1"/>
    <w:rsid w:val="00C03035"/>
    <w:rsid w:val="00C275BC"/>
    <w:rsid w:val="00C33079"/>
    <w:rsid w:val="00C365F1"/>
    <w:rsid w:val="00C43B31"/>
    <w:rsid w:val="00C50536"/>
    <w:rsid w:val="00C55EB7"/>
    <w:rsid w:val="00C92AD3"/>
    <w:rsid w:val="00CA3D0C"/>
    <w:rsid w:val="00CB4F44"/>
    <w:rsid w:val="00CB6651"/>
    <w:rsid w:val="00CB6887"/>
    <w:rsid w:val="00CD4C7B"/>
    <w:rsid w:val="00D22038"/>
    <w:rsid w:val="00D45717"/>
    <w:rsid w:val="00D738D6"/>
    <w:rsid w:val="00D751E1"/>
    <w:rsid w:val="00D80795"/>
    <w:rsid w:val="00D87E00"/>
    <w:rsid w:val="00D908B4"/>
    <w:rsid w:val="00D9134D"/>
    <w:rsid w:val="00D97CD9"/>
    <w:rsid w:val="00DA7A03"/>
    <w:rsid w:val="00DB1818"/>
    <w:rsid w:val="00DC309B"/>
    <w:rsid w:val="00DC4DA2"/>
    <w:rsid w:val="00DE0D1C"/>
    <w:rsid w:val="00DE1406"/>
    <w:rsid w:val="00E02656"/>
    <w:rsid w:val="00E07838"/>
    <w:rsid w:val="00E23191"/>
    <w:rsid w:val="00E340BC"/>
    <w:rsid w:val="00E51F8B"/>
    <w:rsid w:val="00E62835"/>
    <w:rsid w:val="00E77645"/>
    <w:rsid w:val="00E852FF"/>
    <w:rsid w:val="00E90390"/>
    <w:rsid w:val="00E90ABE"/>
    <w:rsid w:val="00EA22F8"/>
    <w:rsid w:val="00EC4A25"/>
    <w:rsid w:val="00EE0A1E"/>
    <w:rsid w:val="00F025A2"/>
    <w:rsid w:val="00F2026E"/>
    <w:rsid w:val="00F2210A"/>
    <w:rsid w:val="00F37743"/>
    <w:rsid w:val="00F47338"/>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2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LChar">
    <w:name w:val="TAL Char"/>
    <w:link w:val="TAL"/>
    <w:qFormat/>
    <w:rsid w:val="00DE0D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5AIRPNAIUNRU-490051479-3948</_dlc_DocId>
    <_dlc_DocIdUrl xmlns="71c5aaf6-e6ce-465b-b873-5148d2a4c105">
      <Url>https://nokia.sharepoint.com/sites/c5g/projects/FAAS/_layouts/15/DocIdRedir.aspx?ID=5AIRPNAIUNRU-490051479-3948</Url>
      <Description>5AIRPNAIUNRU-490051479-3948</Description>
    </_dlc_DocIdUrl>
  </documentManagement>
</p:properties>
</file>

<file path=customXml/itemProps1.xml><?xml version="1.0" encoding="utf-8"?>
<ds:datastoreItem xmlns:ds="http://schemas.openxmlformats.org/officeDocument/2006/customXml" ds:itemID="{DC1BF755-DE48-4C82-B4E2-97CC4BFA2471}">
  <ds:schemaRefs>
    <ds:schemaRef ds:uri="http://schemas.microsoft.com/sharepoint/v3/contenttype/forms"/>
  </ds:schemaRefs>
</ds:datastoreItem>
</file>

<file path=customXml/itemProps2.xml><?xml version="1.0" encoding="utf-8"?>
<ds:datastoreItem xmlns:ds="http://schemas.openxmlformats.org/officeDocument/2006/customXml" ds:itemID="{1FADB8A2-3436-4501-A31B-EDFD622FB8C4}">
  <ds:schemaRefs>
    <ds:schemaRef ds:uri="http://schemas.microsoft.com/sharepoint/events"/>
  </ds:schemaRefs>
</ds:datastoreItem>
</file>

<file path=customXml/itemProps3.xml><?xml version="1.0" encoding="utf-8"?>
<ds:datastoreItem xmlns:ds="http://schemas.openxmlformats.org/officeDocument/2006/customXml" ds:itemID="{831BB61F-AFFE-4E95-B618-1B56EC3FDF34}">
  <ds:schemaRefs>
    <ds:schemaRef ds:uri="Microsoft.SharePoint.Taxonomy.ContentTypeSync"/>
  </ds:schemaRefs>
</ds:datastoreItem>
</file>

<file path=customXml/itemProps4.xml><?xml version="1.0" encoding="utf-8"?>
<ds:datastoreItem xmlns:ds="http://schemas.openxmlformats.org/officeDocument/2006/customXml" ds:itemID="{2E259D2E-42FB-4DB8-8C11-23270E843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B08C9A-165C-4A55-9910-91494D0BE94F}">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purl.org/dc/elements/1.1/"/>
    <ds:schemaRef ds:uri="http://schemas.microsoft.com/office/2006/metadata/properties"/>
    <ds:schemaRef ds:uri="bd98b143-97af-43fb-a8de-63b93b94404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216</TotalTime>
  <Pages>2</Pages>
  <Words>640</Words>
  <Characters>3525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27</cp:revision>
  <dcterms:created xsi:type="dcterms:W3CDTF">2019-06-29T13:33:00Z</dcterms:created>
  <dcterms:modified xsi:type="dcterms:W3CDTF">2022-01-06T17:34:00Z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e040d755-6046-48f3-8d2c-23ade3d5b17f</vt:lpwstr>
  </property>
</Properties>
</file>